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D9" w:rsidRPr="00CF10D9" w:rsidRDefault="00CF10D9" w:rsidP="00CF10D9">
      <w:pPr>
        <w:rPr>
          <w:b/>
          <w:bCs/>
        </w:rPr>
      </w:pPr>
      <w:r w:rsidRPr="00CF10D9">
        <w:rPr>
          <w:b/>
          <w:bCs/>
        </w:rPr>
        <w:t>Кодекс Республики Беларусь об административных правонарушениях</w:t>
      </w:r>
      <w:r w:rsidRPr="00CF10D9">
        <w:rPr>
          <w:b/>
          <w:bCs/>
        </w:rPr>
        <w:br/>
        <w:t>6 января 2021 года № 93-З</w:t>
      </w:r>
      <w:r w:rsidRPr="00CF10D9">
        <w:rPr>
          <w:b/>
          <w:bCs/>
        </w:rPr>
        <w:br/>
        <w:t>(извлечение)</w:t>
      </w:r>
    </w:p>
    <w:p w:rsidR="00CF10D9" w:rsidRPr="00CF10D9" w:rsidRDefault="00CF10D9" w:rsidP="00CF10D9">
      <w:pPr>
        <w:rPr>
          <w:b/>
          <w:bCs/>
        </w:rPr>
      </w:pPr>
      <w:hyperlink r:id="rId6" w:tgtFrame="_blank" w:tooltip="Карточка и полный текст документа на Национальном правовом Интернет-портале Республики Беларусь" w:history="1">
        <w:r w:rsidRPr="00CF10D9">
          <w:rPr>
            <w:rStyle w:val="a3"/>
            <w:b/>
            <w:bCs/>
          </w:rPr>
          <w:t>Национальный правовой Интернет-портал Республики Беларусь, 22.01.2021, 2/2811.</w:t>
        </w:r>
      </w:hyperlink>
      <w:r w:rsidRPr="00CF10D9">
        <w:rPr>
          <w:b/>
          <w:bCs/>
        </w:rPr>
        <w:br/>
        <w:t>Вступил в силу 01.03.2021.</w:t>
      </w:r>
    </w:p>
    <w:p w:rsidR="00CF10D9" w:rsidRPr="00CF10D9" w:rsidRDefault="00CF10D9" w:rsidP="00CF10D9">
      <w:pPr>
        <w:rPr>
          <w:b/>
          <w:bCs/>
        </w:rPr>
      </w:pPr>
      <w:r w:rsidRPr="00CF10D9">
        <w:rPr>
          <w:b/>
          <w:bCs/>
        </w:rPr>
        <w:t>Изменения и дополнения</w:t>
      </w:r>
    </w:p>
    <w:p w:rsidR="00CF10D9" w:rsidRPr="00CF10D9" w:rsidRDefault="00CF10D9" w:rsidP="00CF10D9">
      <w:pPr>
        <w:numPr>
          <w:ilvl w:val="0"/>
          <w:numId w:val="1"/>
        </w:numPr>
      </w:pPr>
      <w:hyperlink r:id="rId7" w:tgtFrame="_blank" w:history="1">
        <w:r w:rsidRPr="00CF10D9">
          <w:rPr>
            <w:rStyle w:val="a3"/>
          </w:rPr>
          <w:t>Закон Республики Беларусь от 4 января 2022 г. № 144-З</w:t>
        </w:r>
      </w:hyperlink>
      <w:r w:rsidRPr="00CF10D9">
        <w:t> (Национальный правовой Интернет-портал Республики Беларусь, 11.01.2022, 2/2864) &lt;H12200144&gt;;</w:t>
      </w:r>
    </w:p>
    <w:p w:rsidR="00CF10D9" w:rsidRPr="00CF10D9" w:rsidRDefault="00CF10D9" w:rsidP="00CF10D9">
      <w:pPr>
        <w:numPr>
          <w:ilvl w:val="0"/>
          <w:numId w:val="1"/>
        </w:numPr>
      </w:pPr>
      <w:hyperlink r:id="rId8" w:tgtFrame="_blank" w:history="1">
        <w:r w:rsidRPr="00CF10D9">
          <w:rPr>
            <w:rStyle w:val="a3"/>
          </w:rPr>
          <w:t>Закон Республики Беларусь от 9 декабря 2022 г. № 226-З</w:t>
        </w:r>
      </w:hyperlink>
      <w:r w:rsidRPr="00CF10D9">
        <w:rPr>
          <w:u w:val="single"/>
        </w:rPr>
        <w:t> </w:t>
      </w:r>
      <w:r w:rsidRPr="00CF10D9">
        <w:t>(Национальный правовой Интернет-портал Республики Беларусь, 16.12.2022, 2/2946) &lt;H12200226&gt; — внесены изменения и дополнения, </w:t>
      </w:r>
      <w:r w:rsidRPr="00CF10D9">
        <w:rPr>
          <w:b/>
          <w:bCs/>
        </w:rPr>
        <w:t>вступившие в силу 27.12.2022</w:t>
      </w:r>
      <w:r w:rsidRPr="00CF10D9">
        <w:t>.</w:t>
      </w:r>
    </w:p>
    <w:p w:rsidR="00CF10D9" w:rsidRPr="00CF10D9" w:rsidRDefault="00CF10D9" w:rsidP="00CF10D9">
      <w:hyperlink r:id="rId9" w:anchor=":~:text=ГЛАВА%2018" w:tgtFrame="_blank" w:history="1">
        <w:r w:rsidRPr="00CF10D9">
          <w:rPr>
            <w:rStyle w:val="a3"/>
          </w:rPr>
          <w:t xml:space="preserve">Глава 18. </w:t>
        </w:r>
      </w:hyperlink>
      <w:r w:rsidRPr="00CF10D9">
        <w:br/>
      </w:r>
      <w:r w:rsidRPr="00CF10D9">
        <w:rPr>
          <w:b/>
          <w:bCs/>
        </w:rPr>
        <w:t>Административные правонарушения против безопасности движения и эксплуатации транспорта</w:t>
      </w:r>
    </w:p>
    <w:p w:rsidR="00CF10D9" w:rsidRPr="00CF10D9" w:rsidRDefault="00CF10D9" w:rsidP="00CF10D9">
      <w:pPr>
        <w:numPr>
          <w:ilvl w:val="0"/>
          <w:numId w:val="2"/>
        </w:numPr>
      </w:pPr>
      <w:hyperlink r:id="rId10" w:anchor=":~:text=Статья%2018.2%2E" w:tgtFrame="_blank" w:history="1">
        <w:r w:rsidRPr="00CF10D9">
          <w:rPr>
            <w:rStyle w:val="a3"/>
          </w:rPr>
          <w:t>Статья 18.2.</w:t>
        </w:r>
      </w:hyperlink>
      <w:r w:rsidRPr="00CF10D9">
        <w:rPr>
          <w:u w:val="single"/>
        </w:rPr>
        <w:t xml:space="preserve"> </w:t>
      </w:r>
      <w:r w:rsidRPr="00CF10D9">
        <w:t>Нарушение правил, обеспечивающих безопасность движения на железнодорожном или городском электрическом транспорте</w:t>
      </w:r>
    </w:p>
    <w:p w:rsidR="00CF10D9" w:rsidRPr="00CF10D9" w:rsidRDefault="00CF10D9" w:rsidP="00CF10D9">
      <w:r w:rsidRPr="00CF10D9">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 влечет наложение штрафа в размере от двух до десяти базовых величин.</w:t>
      </w:r>
    </w:p>
    <w:p w:rsidR="00CF10D9" w:rsidRPr="00CF10D9" w:rsidRDefault="00CF10D9" w:rsidP="00CF10D9">
      <w:r w:rsidRPr="00CF10D9">
        <w:t>2. Повреждение железнодорожного или трамвайного путей, защитных лесонасаждений, снегозащитных ограждений или других путевых объектов, сооружений и устройств сигнализации и связи – влечет наложение штрафа в размере от двадцати до пятидесяти базовых величин.</w:t>
      </w:r>
    </w:p>
    <w:p w:rsidR="00CF10D9" w:rsidRPr="00CF10D9" w:rsidRDefault="00CF10D9" w:rsidP="00CF10D9">
      <w:r w:rsidRPr="00CF10D9">
        <w:t>3. Нарушение правил проезда гужевого транспортного средства и прогона скота через железнодорожные пути, выпаса скота вблизи железнодорожных путей – влечет наложение штрафа в размере от одной до десяти базовых величин.</w:t>
      </w:r>
    </w:p>
    <w:p w:rsidR="00CF10D9" w:rsidRPr="00CF10D9" w:rsidRDefault="00CF10D9" w:rsidP="00CF10D9">
      <w:r w:rsidRPr="00CF10D9">
        <w:t>4. Проход по железнодорожным путям или нахождение на железнодорожных путях в местах, не предназначенных для их пересечения, – влекут наложение штрафа в размере до двух базовых величин.</w:t>
      </w:r>
    </w:p>
    <w:p w:rsidR="00CF10D9" w:rsidRPr="00CF10D9" w:rsidRDefault="00CF10D9" w:rsidP="00CF10D9">
      <w:pPr>
        <w:numPr>
          <w:ilvl w:val="0"/>
          <w:numId w:val="3"/>
        </w:numPr>
      </w:pPr>
      <w:hyperlink r:id="rId11" w:anchor=":~:text=Статья%2018.3%2E" w:tgtFrame="_blank" w:history="1">
        <w:r w:rsidRPr="00CF10D9">
          <w:rPr>
            <w:rStyle w:val="a3"/>
          </w:rPr>
          <w:t>Статья 18.3.</w:t>
        </w:r>
      </w:hyperlink>
      <w:r w:rsidRPr="00CF10D9">
        <w:t xml:space="preserve"> Нарушение правил пользования транспортными средствами железнодорожного транспорта</w:t>
      </w:r>
    </w:p>
    <w:p w:rsidR="00CF10D9" w:rsidRPr="00CF10D9" w:rsidRDefault="00CF10D9" w:rsidP="00CF10D9">
      <w:r w:rsidRPr="00CF10D9">
        <w:t>1. Самовольный прое</w:t>
      </w:r>
      <w:proofErr w:type="gramStart"/>
      <w:r w:rsidRPr="00CF10D9">
        <w:t>зд в гр</w:t>
      </w:r>
      <w:proofErr w:type="gramEnd"/>
      <w:r w:rsidRPr="00CF10D9">
        <w:t>узовом поезде, либо посадка в поезд или высадка из него во время движения, либо проезд на подножке или крыше вагона, либо самовольная остановка поезда без необходимости –</w:t>
      </w:r>
    </w:p>
    <w:p w:rsidR="00CF10D9" w:rsidRPr="00CF10D9" w:rsidRDefault="00CF10D9" w:rsidP="00CF10D9">
      <w:r w:rsidRPr="00CF10D9">
        <w:t>влекут наложение штрафа в размере от шести десятых до трех базовых величин.</w:t>
      </w:r>
    </w:p>
    <w:p w:rsidR="00CF10D9" w:rsidRPr="00CF10D9" w:rsidRDefault="00CF10D9" w:rsidP="00CF10D9">
      <w:r w:rsidRPr="00CF10D9">
        <w:t>2. Выбрасывание мусора или иных предметов из транспортного средства железнодорожного транспорта – влечет наложение штрафа в размере от одной до двух базовых величин.</w:t>
      </w:r>
    </w:p>
    <w:p w:rsidR="00CF10D9" w:rsidRPr="00CF10D9" w:rsidRDefault="00CF10D9" w:rsidP="00CF10D9">
      <w:r w:rsidRPr="00CF10D9">
        <w:t>3. Открытие дверей транспортного средства железнодорожного транспорта во время движения – влечет наложение штрафа в размере от двух до десяти базовых величин.</w:t>
      </w:r>
    </w:p>
    <w:p w:rsidR="00CF10D9" w:rsidRPr="00CF10D9" w:rsidRDefault="00CF10D9" w:rsidP="00CF10D9">
      <w:pPr>
        <w:numPr>
          <w:ilvl w:val="0"/>
          <w:numId w:val="4"/>
        </w:numPr>
      </w:pPr>
      <w:hyperlink r:id="rId12" w:anchor=":~:text=Статья%2018.8%2E" w:tgtFrame="_blank" w:history="1">
        <w:r w:rsidRPr="00CF10D9">
          <w:rPr>
            <w:rStyle w:val="a3"/>
          </w:rPr>
          <w:t xml:space="preserve">Статья 18.8. </w:t>
        </w:r>
      </w:hyperlink>
      <w:r w:rsidRPr="00CF10D9">
        <w:t>Нарушение правил пользования транспортным средством</w:t>
      </w:r>
    </w:p>
    <w:p w:rsidR="00CF10D9" w:rsidRPr="00CF10D9" w:rsidRDefault="00CF10D9" w:rsidP="00CF10D9">
      <w:r w:rsidRPr="00CF10D9">
        <w:t>1. Выбрасывание мусора или иных предметов из транспортного средства – влечет наложение штрафа в размере от одной до двух базовых величин.</w:t>
      </w:r>
    </w:p>
    <w:p w:rsidR="00CF10D9" w:rsidRPr="00CF10D9" w:rsidRDefault="00CF10D9" w:rsidP="00CF10D9">
      <w:r w:rsidRPr="00CF10D9">
        <w:t>2. Открытие дверей транспортного средства во время движения – влечет наложение штрафа в размере от двух до десяти базовых величин.</w:t>
      </w:r>
    </w:p>
    <w:p w:rsidR="00CF10D9" w:rsidRPr="00CF10D9" w:rsidRDefault="00CF10D9" w:rsidP="00CF10D9">
      <w:r w:rsidRPr="00CF10D9">
        <w:t> </w:t>
      </w:r>
    </w:p>
    <w:p w:rsidR="00CF10D9" w:rsidRPr="00CF10D9" w:rsidRDefault="00CF10D9" w:rsidP="00CF10D9">
      <w:r w:rsidRPr="00CF10D9">
        <w:t>Примечание. Под транспортным средством, указанным в </w:t>
      </w:r>
      <w:hyperlink r:id="rId13" w:anchor=":~:text=Статья%2018.8%2E" w:tgtFrame="_blank" w:history="1">
        <w:r w:rsidRPr="00CF10D9">
          <w:rPr>
            <w:rStyle w:val="a3"/>
          </w:rPr>
          <w:t>статьях 18.8</w:t>
        </w:r>
      </w:hyperlink>
      <w:r w:rsidRPr="00CF10D9">
        <w:rPr>
          <w:u w:val="single"/>
        </w:rPr>
        <w:t>, </w:t>
      </w:r>
      <w:hyperlink r:id="rId14" w:anchor="&amp;Article=18.10" w:tgtFrame="_blank" w:history="1">
        <w:r w:rsidRPr="00CF10D9">
          <w:rPr>
            <w:rStyle w:val="a3"/>
          </w:rPr>
          <w:t>18.10–18.19</w:t>
        </w:r>
      </w:hyperlink>
      <w:r w:rsidRPr="00CF10D9">
        <w:rPr>
          <w:u w:val="single"/>
        </w:rPr>
        <w:t>, </w:t>
      </w:r>
      <w:hyperlink r:id="rId15" w:anchor="&amp;Article=18.21" w:tgtFrame="_blank" w:history="1">
        <w:r w:rsidRPr="00CF10D9">
          <w:rPr>
            <w:rStyle w:val="a3"/>
          </w:rPr>
          <w:t>18.21–18.23</w:t>
        </w:r>
      </w:hyperlink>
      <w:r w:rsidRPr="00CF10D9">
        <w:t> 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p>
    <w:p w:rsidR="00CF10D9" w:rsidRPr="00CF10D9" w:rsidRDefault="00CF10D9" w:rsidP="00CF10D9">
      <w:pPr>
        <w:numPr>
          <w:ilvl w:val="0"/>
          <w:numId w:val="5"/>
        </w:numPr>
      </w:pPr>
      <w:hyperlink r:id="rId16" w:anchor=":~:text=Статья%2018.9%2E" w:tgtFrame="_blank" w:history="1">
        <w:r w:rsidRPr="00CF10D9">
          <w:rPr>
            <w:rStyle w:val="a3"/>
          </w:rPr>
          <w:t>Статья 18.9.</w:t>
        </w:r>
      </w:hyperlink>
      <w:r w:rsidRPr="00CF10D9">
        <w:t xml:space="preserve"> Нарушение правил пользования метрополитеном</w:t>
      </w:r>
    </w:p>
    <w:p w:rsidR="00CF10D9" w:rsidRPr="00CF10D9" w:rsidRDefault="00CF10D9" w:rsidP="00CF10D9">
      <w:r w:rsidRPr="00CF10D9">
        <w:t>1. Проход в тоннель или нахождение на железнодорожных путях метрополитена – влекут наложение штрафа в размере от двух до пяти базовых величин.</w:t>
      </w:r>
    </w:p>
    <w:p w:rsidR="00CF10D9" w:rsidRPr="00CF10D9" w:rsidRDefault="00CF10D9" w:rsidP="00CF10D9">
      <w:r w:rsidRPr="00CF10D9">
        <w:t>2. Самовольная остановка пассажиром эскалатора в метрополитене – влечет наложение штрафа в размере от двух до десяти базовых величин.</w:t>
      </w:r>
    </w:p>
    <w:p w:rsidR="00CF10D9" w:rsidRPr="00CF10D9" w:rsidRDefault="00CF10D9" w:rsidP="00CF10D9">
      <w:pPr>
        <w:numPr>
          <w:ilvl w:val="0"/>
          <w:numId w:val="6"/>
        </w:numPr>
      </w:pPr>
      <w:hyperlink r:id="rId17" w:anchor=":~:text=Статья%2018.10%2E" w:tgtFrame="_blank" w:history="1">
        <w:r w:rsidRPr="00CF10D9">
          <w:rPr>
            <w:rStyle w:val="a3"/>
          </w:rPr>
          <w:t xml:space="preserve">Статья 18.10. </w:t>
        </w:r>
      </w:hyperlink>
      <w:r w:rsidRPr="00CF10D9">
        <w:t>Нарушение правил проезда железнодорожного переезда</w:t>
      </w:r>
    </w:p>
    <w:p w:rsidR="00CF10D9" w:rsidRPr="00CF10D9" w:rsidRDefault="00CF10D9" w:rsidP="00CF10D9">
      <w:r w:rsidRPr="00CF10D9">
        <w:t>Нарушение лицом, управляющим транспортным средством, правил проезда железнодорожного переезда – влечет наложение штрафа в размере от двух до четырех базовых величин.</w:t>
      </w:r>
    </w:p>
    <w:p w:rsidR="00CF10D9" w:rsidRPr="00CF10D9" w:rsidRDefault="00CF10D9" w:rsidP="00CF10D9">
      <w:pPr>
        <w:numPr>
          <w:ilvl w:val="0"/>
          <w:numId w:val="7"/>
        </w:numPr>
      </w:pPr>
      <w:hyperlink r:id="rId18" w:anchor=":~:text=Статья%2018.11" w:tgtFrame="_blank" w:history="1">
        <w:r w:rsidRPr="00CF10D9">
          <w:rPr>
            <w:rStyle w:val="a3"/>
          </w:rPr>
          <w:t>Статья 18.11.</w:t>
        </w:r>
      </w:hyperlink>
      <w:r w:rsidRPr="00CF10D9">
        <w:t xml:space="preserve"> Нарушение правил эксплуатации транспортного средства</w:t>
      </w:r>
    </w:p>
    <w:p w:rsidR="00CF10D9" w:rsidRPr="00CF10D9" w:rsidRDefault="00CF10D9" w:rsidP="00CF10D9">
      <w:r w:rsidRPr="00CF10D9">
        <w:t>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w:t>
      </w:r>
      <w:proofErr w:type="spellStart"/>
      <w:r w:rsidRPr="00CF10D9">
        <w:t>негорящими</w:t>
      </w:r>
      <w:proofErr w:type="spellEnd"/>
      <w:r w:rsidRPr="00CF10D9">
        <w:t xml:space="preserve"> фарами и (или) задними габаритными огнями (в темное время суток и (или) в условиях недостаточной видимости) – влечет наложение штрафа в размере от одной до трех базовых величин.</w:t>
      </w:r>
    </w:p>
    <w:p w:rsidR="00CF10D9" w:rsidRPr="00CF10D9" w:rsidRDefault="00CF10D9" w:rsidP="00CF10D9">
      <w:r w:rsidRPr="00CF10D9">
        <w:t>2. Управление транспортным средством, имеющим неисправности, за исключением неисправностей, указанных в части 1 настоящей статьи, либо с несоблюдением условий, при наличии которых правилами дорожного движения запрещено его участие в дорожном движении, – влечет наложение штрафа в размере до одной базовой величины.</w:t>
      </w:r>
    </w:p>
    <w:p w:rsidR="00CF10D9" w:rsidRPr="00CF10D9" w:rsidRDefault="00CF10D9" w:rsidP="00CF10D9">
      <w:r w:rsidRPr="00CF10D9">
        <w:t>3.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w:t>
      </w:r>
      <w:proofErr w:type="spellStart"/>
      <w:r w:rsidRPr="00CF10D9">
        <w:t>незастегнутыми</w:t>
      </w:r>
      <w:proofErr w:type="spellEnd"/>
      <w:r w:rsidRPr="00CF10D9">
        <w:t xml:space="preserve"> мотошлемами – влекут наложение штрафа в размере до одной базовой величины.</w:t>
      </w:r>
    </w:p>
    <w:p w:rsidR="00CF10D9" w:rsidRPr="00CF10D9" w:rsidRDefault="00CF10D9" w:rsidP="00CF10D9">
      <w:r w:rsidRPr="00CF10D9">
        <w:t>4. Управление транспортным средством, в отношении которого не выдано разрешение на допуск к участию в дорожном движении, если собственником (владельцем) такого транспортного средства является физическое лицо, – влечет наложение штрафа в размере до трех базовых величин.</w:t>
      </w:r>
    </w:p>
    <w:p w:rsidR="00CF10D9" w:rsidRPr="00CF10D9" w:rsidRDefault="00CF10D9" w:rsidP="00CF10D9">
      <w:r w:rsidRPr="00CF10D9">
        <w:t>5. Эксплуатация в дорожном движении транспортного средства, в отношении которого не выдано разрешение на допуск к участию в дорожном движении, если собственником (владельцем) такого транспортного средства являются юридическое лицо или индивидуальный предприниматель, – влечет наложение штрафа на индивидуального предпринимателя или юридическое лицо в размере до десяти базовых величин.</w:t>
      </w:r>
    </w:p>
    <w:p w:rsidR="00CF10D9" w:rsidRPr="00CF10D9" w:rsidRDefault="00CF10D9" w:rsidP="00CF10D9">
      <w:r w:rsidRPr="00CF10D9">
        <w:t xml:space="preserve">6. Управление транспортным средством с заведомо скрытым, подделанным (подложным) или иным </w:t>
      </w:r>
      <w:proofErr w:type="gramStart"/>
      <w:r w:rsidRPr="00CF10D9">
        <w:t>образом</w:t>
      </w:r>
      <w:proofErr w:type="gramEnd"/>
      <w:r w:rsidRPr="00CF10D9">
        <w:t xml:space="preserve"> измененным регистрационным (номерным) знаком, идентификационным номером кузова или шасси либо без присвоенного регистрационного (номерного) знака – влечет наложение штрафа в размере от десяти до двадцати базовых величин.</w:t>
      </w:r>
    </w:p>
    <w:p w:rsidR="00CF10D9" w:rsidRPr="00CF10D9" w:rsidRDefault="00CF10D9" w:rsidP="00CF10D9">
      <w:r w:rsidRPr="00CF10D9">
        <w:t>7. </w:t>
      </w:r>
      <w:proofErr w:type="gramStart"/>
      <w:r w:rsidRPr="00CF10D9">
        <w:t>Управление транспортным средством с нечитаемым, нестандартным или установленным с нарушением обязательных для соблюдения требований технических регламентов Таможенного союза, Евразийского экономического союза регистрационным знаком – влечет наложение штрафа в размере до двух базовых величин.</w:t>
      </w:r>
      <w:proofErr w:type="gramEnd"/>
    </w:p>
    <w:p w:rsidR="00CF10D9" w:rsidRPr="00CF10D9" w:rsidRDefault="00CF10D9" w:rsidP="00CF10D9">
      <w:r w:rsidRPr="00CF10D9">
        <w:t>8. Действия, предусмотренные частями 1–4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двух до пяти базовых величин.</w:t>
      </w:r>
    </w:p>
    <w:p w:rsidR="00CF10D9" w:rsidRPr="00CF10D9" w:rsidRDefault="00CF10D9" w:rsidP="00CF10D9">
      <w:r w:rsidRPr="00CF10D9">
        <w:rPr>
          <w:b/>
          <w:bCs/>
        </w:rPr>
        <w:t>Примечание.</w:t>
      </w:r>
      <w:r w:rsidRPr="00CF10D9">
        <w:t xml:space="preserve"> Регистрационный знак транспортного средства признается нестандартным при несоответствии его обязательным для соблюдения требованиям технических регламентов Таможенного союза, Евразийского экономического союза. Исполнение регистрационных знаков должно обеспечивать их прочтение днем в ясную погоду с расстояния не менее 40 метров.</w:t>
      </w:r>
    </w:p>
    <w:p w:rsidR="00CF10D9" w:rsidRPr="00CF10D9" w:rsidRDefault="00CF10D9" w:rsidP="00CF10D9">
      <w:pPr>
        <w:numPr>
          <w:ilvl w:val="0"/>
          <w:numId w:val="8"/>
        </w:numPr>
      </w:pPr>
      <w:hyperlink r:id="rId19" w:anchor=":~:text=Статья%2018.14%2E" w:tgtFrame="_blank" w:history="1">
        <w:r w:rsidRPr="00CF10D9">
          <w:rPr>
            <w:rStyle w:val="a3"/>
          </w:rPr>
          <w:t>Статья 18.14.</w:t>
        </w:r>
      </w:hyperlink>
      <w:r w:rsidRPr="00CF10D9">
        <w:t xml:space="preserve"> Управление транспортным средством лицом, не имеющим права управления</w:t>
      </w:r>
    </w:p>
    <w:p w:rsidR="00CF10D9" w:rsidRPr="00CF10D9" w:rsidRDefault="00CF10D9" w:rsidP="00CF10D9">
      <w:r w:rsidRPr="00CF10D9">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 влекут наложение штрафа в размере от пяти до двадцати базовых величин.</w:t>
      </w:r>
    </w:p>
    <w:p w:rsidR="00CF10D9" w:rsidRPr="00CF10D9" w:rsidRDefault="00CF10D9" w:rsidP="00CF10D9">
      <w:r w:rsidRPr="00CF10D9">
        <w:t>2. Те же действия, совершенные повторно в течение одного года после наложения административного взыскания за такие же нарушения, – влекут наложение штрафа в размере от двадцати до пятидесяти базовых величин, или общественные работы, или административный арест.</w:t>
      </w:r>
    </w:p>
    <w:p w:rsidR="00CF10D9" w:rsidRPr="00CF10D9" w:rsidRDefault="00CF10D9" w:rsidP="00CF10D9">
      <w:pPr>
        <w:numPr>
          <w:ilvl w:val="0"/>
          <w:numId w:val="9"/>
        </w:numPr>
      </w:pPr>
      <w:hyperlink r:id="rId20" w:anchor=":~:text=Статья%2018.15%2E" w:tgtFrame="_blank" w:history="1">
        <w:r w:rsidRPr="00CF10D9">
          <w:rPr>
            <w:rStyle w:val="a3"/>
          </w:rPr>
          <w:t>Статья 18.15.</w:t>
        </w:r>
      </w:hyperlink>
      <w:r w:rsidRPr="00CF10D9">
        <w:t xml:space="preserve">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CF10D9" w:rsidRPr="00CF10D9" w:rsidRDefault="00CF10D9" w:rsidP="00CF10D9">
      <w:r w:rsidRPr="00CF10D9">
        <w:t>1. </w:t>
      </w:r>
      <w:proofErr w:type="gramStart"/>
      <w:r w:rsidRPr="00CF10D9">
        <w:t>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или наличии паров абсолютного этилового спирта в концентрации до 380 микрограммов на один литр выдыхаемого воздуха включительно – влечет наложение штрафа в размере ста базовых величин с лишением права заниматься определенной деятельностью сроком на три года</w:t>
      </w:r>
      <w:proofErr w:type="gramEnd"/>
      <w:r w:rsidRPr="00CF10D9">
        <w:t>.</w:t>
      </w:r>
    </w:p>
    <w:p w:rsidR="00CF10D9" w:rsidRPr="00CF10D9" w:rsidRDefault="00CF10D9" w:rsidP="00CF10D9">
      <w:r w:rsidRPr="00CF10D9">
        <w:t>2. </w:t>
      </w:r>
      <w:proofErr w:type="gramStart"/>
      <w:r w:rsidRPr="00CF10D9">
        <w:t>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свыше 0,8 промилле или наличии паров абсолютного этилового спирта в концентрации свыше 380 микрограммов на один литр выдыхаемого воздуха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w:t>
      </w:r>
      <w:proofErr w:type="gramEnd"/>
      <w:r w:rsidRPr="00CF10D9">
        <w:t>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двухсот базовых величин с лишением права заниматься определенной деятельностью сроком на пять лет.</w:t>
      </w:r>
    </w:p>
    <w:p w:rsidR="00CF10D9" w:rsidRPr="00CF10D9" w:rsidRDefault="00CF10D9" w:rsidP="00CF10D9">
      <w:r w:rsidRPr="00CF10D9">
        <w:t>3. Передача управления транспортным средством лицу, находящемуся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 влечет наложение штрафа в размере от пятидесяти до ста базовых величин с лишением права заниматься определенной деятельностью сроком на три года.</w:t>
      </w:r>
    </w:p>
    <w:p w:rsidR="00CF10D9" w:rsidRPr="00CF10D9" w:rsidRDefault="00CF10D9" w:rsidP="00CF10D9">
      <w:r w:rsidRPr="00CF10D9">
        <w:t>4. </w:t>
      </w:r>
      <w:proofErr w:type="gramStart"/>
      <w:r w:rsidRPr="00CF10D9">
        <w:t>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w:t>
      </w:r>
      <w:proofErr w:type="gramEnd"/>
      <w:r w:rsidRPr="00CF10D9">
        <w:t xml:space="preserve"> других одурманивающих веществ, – влечет наложение штрафа в размере двухсот базовых величин с лишением права заниматься определенной деятельностью сроком на пять лет.</w:t>
      </w:r>
    </w:p>
    <w:p w:rsidR="00CF10D9" w:rsidRPr="00CF10D9" w:rsidRDefault="00CF10D9" w:rsidP="00CF10D9">
      <w:pPr>
        <w:numPr>
          <w:ilvl w:val="0"/>
          <w:numId w:val="10"/>
        </w:numPr>
      </w:pPr>
      <w:hyperlink r:id="rId21" w:anchor=":~:text=Статья%2018.20" w:tgtFrame="_blank" w:history="1">
        <w:r w:rsidRPr="00CF10D9">
          <w:rPr>
            <w:rStyle w:val="a3"/>
          </w:rPr>
          <w:t>Статья 18.20.</w:t>
        </w:r>
      </w:hyperlink>
      <w:r w:rsidRPr="00CF10D9">
        <w:t xml:space="preserve">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CF10D9" w:rsidRPr="00CF10D9" w:rsidRDefault="00CF10D9" w:rsidP="00CF10D9">
      <w:r w:rsidRPr="00CF10D9">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 влечет наложение штрафа в размере от одной до трех базовых величин.</w:t>
      </w:r>
    </w:p>
    <w:p w:rsidR="00CF10D9" w:rsidRPr="00CF10D9" w:rsidRDefault="00CF10D9" w:rsidP="00CF10D9">
      <w:r w:rsidRPr="00CF10D9">
        <w:t>2. </w:t>
      </w:r>
      <w:proofErr w:type="gramStart"/>
      <w:r w:rsidRPr="00CF10D9">
        <w:t>Нарушение правил дорожного движения лицами, указанными в части 1 настоящей статьи, совершенное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w:t>
      </w:r>
      <w:proofErr w:type="gramEnd"/>
      <w:r w:rsidRPr="00CF10D9">
        <w:t xml:space="preserve"> одурманивающих веществ, – влекут наложение штрафа в размере от трех до пяти базовых величин.</w:t>
      </w:r>
    </w:p>
    <w:p w:rsidR="00CF10D9" w:rsidRPr="00CF10D9" w:rsidRDefault="00CF10D9" w:rsidP="00CF10D9">
      <w:r w:rsidRPr="00CF10D9">
        <w:t>3. Нарушение правил дорожного движения лицами, указанными в частях 1 и 2 настоящей статьи, повлекшее создание аварийной обстановки, – влечет наложение штрафа в размере от трех до восьми базовых величин.</w:t>
      </w:r>
    </w:p>
    <w:p w:rsidR="00CF10D9" w:rsidRPr="00CF10D9" w:rsidRDefault="00CF10D9" w:rsidP="00CF10D9">
      <w:r w:rsidRPr="00CF10D9">
        <w:t>4. Нарушение правил дорожного движения лицами, указанными в частях 1 и 2 настоящей статьи, повлекшее причинение потерпевшему легкого телесного повреждения, а равно оставление ими места дорожно-транспортного происшествия, участниками которого они являются, – влекут наложение штрафа в размере от пяти до двадцати базовых величин.</w:t>
      </w:r>
    </w:p>
    <w:p w:rsidR="00CF10D9" w:rsidRPr="00CF10D9" w:rsidRDefault="00CF10D9" w:rsidP="00CF10D9">
      <w:pPr>
        <w:numPr>
          <w:ilvl w:val="0"/>
          <w:numId w:val="11"/>
        </w:numPr>
      </w:pPr>
      <w:hyperlink r:id="rId22" w:anchor=":~:text=Статья%2018.28%2E" w:tgtFrame="_blank" w:history="1">
        <w:r w:rsidRPr="00CF10D9">
          <w:rPr>
            <w:rStyle w:val="a3"/>
          </w:rPr>
          <w:t xml:space="preserve">Статья 18.28. </w:t>
        </w:r>
      </w:hyperlink>
      <w:r w:rsidRPr="00CF10D9">
        <w:t>Безбилетный проезд</w:t>
      </w:r>
    </w:p>
    <w:p w:rsidR="00CF10D9" w:rsidRPr="00CF10D9" w:rsidRDefault="00CF10D9" w:rsidP="00CF10D9">
      <w:r w:rsidRPr="00CF10D9">
        <w:t>1. Безбилетный проезд пассажиров на всех видах городского транспорта, в поездах городских линий, а равно прохождение контрольного турникета (линии контроля) в метрополитене без наличия документа, подтверждающего право на проезд, – влекут наложение штрафа в размере от пяти десятых до одной базовой величины.</w:t>
      </w:r>
    </w:p>
    <w:p w:rsidR="00CF10D9" w:rsidRPr="00CF10D9" w:rsidRDefault="00CF10D9" w:rsidP="00CF10D9">
      <w:r w:rsidRPr="00CF10D9">
        <w:t>2. Безбилетный проезд пассажиров в поездах региональных линий, автобусах и маршрутных такси пригородного сообщения – влечет наложение штрафа в размере семи десятых базовой величины.</w:t>
      </w:r>
    </w:p>
    <w:p w:rsidR="00CF10D9" w:rsidRPr="00CF10D9" w:rsidRDefault="00CF10D9" w:rsidP="00CF10D9">
      <w:r w:rsidRPr="00CF10D9">
        <w:t>3. Безбилетный проезд пассажиров в поездах межрегиональных и международных линий, в автобусах и маршрутных такси междугородного сообщения – влечет наложение штрафа в размере одной базовой величины.</w:t>
      </w:r>
    </w:p>
    <w:p w:rsidR="00CF10D9" w:rsidRPr="00CF10D9" w:rsidRDefault="00CF10D9" w:rsidP="00CF10D9">
      <w:r w:rsidRPr="00CF10D9">
        <w:t> </w:t>
      </w:r>
    </w:p>
    <w:p w:rsidR="00100F22" w:rsidRDefault="00100F22">
      <w:bookmarkStart w:id="0" w:name="_GoBack"/>
      <w:bookmarkEnd w:id="0"/>
    </w:p>
    <w:sectPr w:rsidR="00100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18A"/>
    <w:multiLevelType w:val="multilevel"/>
    <w:tmpl w:val="DD3E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E1865"/>
    <w:multiLevelType w:val="multilevel"/>
    <w:tmpl w:val="2C28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244D4"/>
    <w:multiLevelType w:val="multilevel"/>
    <w:tmpl w:val="9BC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60461"/>
    <w:multiLevelType w:val="multilevel"/>
    <w:tmpl w:val="5BB4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C54AF"/>
    <w:multiLevelType w:val="multilevel"/>
    <w:tmpl w:val="F336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375EE"/>
    <w:multiLevelType w:val="multilevel"/>
    <w:tmpl w:val="DE94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E4973"/>
    <w:multiLevelType w:val="multilevel"/>
    <w:tmpl w:val="24AA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CC0343"/>
    <w:multiLevelType w:val="multilevel"/>
    <w:tmpl w:val="98E4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40792"/>
    <w:multiLevelType w:val="multilevel"/>
    <w:tmpl w:val="5CFA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14298"/>
    <w:multiLevelType w:val="multilevel"/>
    <w:tmpl w:val="1BF2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10180"/>
    <w:multiLevelType w:val="multilevel"/>
    <w:tmpl w:val="5EA2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10"/>
  </w:num>
  <w:num w:numId="5">
    <w:abstractNumId w:val="4"/>
  </w:num>
  <w:num w:numId="6">
    <w:abstractNumId w:val="0"/>
  </w:num>
  <w:num w:numId="7">
    <w:abstractNumId w:val="7"/>
  </w:num>
  <w:num w:numId="8">
    <w:abstractNumId w:val="3"/>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D9"/>
    <w:rsid w:val="00100F22"/>
    <w:rsid w:val="00A6262E"/>
    <w:rsid w:val="00CF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6990">
      <w:bodyDiv w:val="1"/>
      <w:marLeft w:val="0"/>
      <w:marRight w:val="0"/>
      <w:marTop w:val="0"/>
      <w:marBottom w:val="0"/>
      <w:divBdr>
        <w:top w:val="none" w:sz="0" w:space="0" w:color="auto"/>
        <w:left w:val="none" w:sz="0" w:space="0" w:color="auto"/>
        <w:bottom w:val="none" w:sz="0" w:space="0" w:color="auto"/>
        <w:right w:val="none" w:sz="0" w:space="0" w:color="auto"/>
      </w:divBdr>
    </w:div>
    <w:div w:id="137090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961&amp;p0=H12200226" TargetMode="External"/><Relationship Id="rId13" Type="http://schemas.openxmlformats.org/officeDocument/2006/relationships/hyperlink" Target="https://etalonline.by/document/?regnum=hk2100091" TargetMode="External"/><Relationship Id="rId18" Type="http://schemas.openxmlformats.org/officeDocument/2006/relationships/hyperlink" Target="https://etalonline.by/document/?regnum=hk2100091" TargetMode="External"/><Relationship Id="rId3" Type="http://schemas.microsoft.com/office/2007/relationships/stylesWithEffects" Target="stylesWithEffects.xml"/><Relationship Id="rId21" Type="http://schemas.openxmlformats.org/officeDocument/2006/relationships/hyperlink" Target="https://etalonline.by/document/?regnum=hk2100091" TargetMode="External"/><Relationship Id="rId7" Type="http://schemas.openxmlformats.org/officeDocument/2006/relationships/hyperlink" Target="https://pravo.by/document/?guid=3961&amp;p0=H12200144" TargetMode="External"/><Relationship Id="rId12" Type="http://schemas.openxmlformats.org/officeDocument/2006/relationships/hyperlink" Target="https://etalonline.by/document/?regnum=hk2100091" TargetMode="External"/><Relationship Id="rId17" Type="http://schemas.openxmlformats.org/officeDocument/2006/relationships/hyperlink" Target="https://etalonline.by/document/?regnum=hk2100091" TargetMode="External"/><Relationship Id="rId2" Type="http://schemas.openxmlformats.org/officeDocument/2006/relationships/styles" Target="styles.xml"/><Relationship Id="rId16" Type="http://schemas.openxmlformats.org/officeDocument/2006/relationships/hyperlink" Target="https://etalonline.by/document/?regnum=hk2100091" TargetMode="External"/><Relationship Id="rId20" Type="http://schemas.openxmlformats.org/officeDocument/2006/relationships/hyperlink" Target="https://etalonline.by/document/?regnum=hk2100091" TargetMode="External"/><Relationship Id="rId1" Type="http://schemas.openxmlformats.org/officeDocument/2006/relationships/numbering" Target="numbering.xml"/><Relationship Id="rId6" Type="http://schemas.openxmlformats.org/officeDocument/2006/relationships/hyperlink" Target="https://pravo.by/document/?guid=3961&amp;p0=hk9800218" TargetMode="External"/><Relationship Id="rId11" Type="http://schemas.openxmlformats.org/officeDocument/2006/relationships/hyperlink" Target="https://etalonline.by/document/?regnum=hk21000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talonline.by/document/?regnum=hk2100091" TargetMode="External"/><Relationship Id="rId23" Type="http://schemas.openxmlformats.org/officeDocument/2006/relationships/fontTable" Target="fontTable.xml"/><Relationship Id="rId10" Type="http://schemas.openxmlformats.org/officeDocument/2006/relationships/hyperlink" Target="https://etalonline.by/document/?regnum=hk2100091" TargetMode="External"/><Relationship Id="rId19" Type="http://schemas.openxmlformats.org/officeDocument/2006/relationships/hyperlink" Target="https://etalonline.by/document/?regnum=hk2100091" TargetMode="External"/><Relationship Id="rId4" Type="http://schemas.openxmlformats.org/officeDocument/2006/relationships/settings" Target="settings.xml"/><Relationship Id="rId9" Type="http://schemas.openxmlformats.org/officeDocument/2006/relationships/hyperlink" Target="https://etalonline.by/document/?regnum=hk2100091" TargetMode="External"/><Relationship Id="rId14" Type="http://schemas.openxmlformats.org/officeDocument/2006/relationships/hyperlink" Target="https://etalonline.by/document/?regnum=hk2100091" TargetMode="External"/><Relationship Id="rId22" Type="http://schemas.openxmlformats.org/officeDocument/2006/relationships/hyperlink" Target="https://etalonline.by/document/?regnum=hk2100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2097</Words>
  <Characters>11956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2023-07-22T22:32:00Z</dcterms:created>
  <dcterms:modified xsi:type="dcterms:W3CDTF">2023-07-22T22:33:00Z</dcterms:modified>
</cp:coreProperties>
</file>